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0D3" w:rsidRDefault="008610D3" w:rsidP="008610D3">
      <w:pPr>
        <w:pStyle w:val="Default"/>
        <w:jc w:val="center"/>
        <w:rPr>
          <w:sz w:val="22"/>
          <w:szCs w:val="22"/>
        </w:rPr>
      </w:pPr>
      <w:r>
        <w:rPr>
          <w:b/>
          <w:bCs/>
          <w:sz w:val="22"/>
          <w:szCs w:val="22"/>
        </w:rPr>
        <w:t>ZARZĄDZENIE NR ….</w:t>
      </w:r>
    </w:p>
    <w:p w:rsidR="008610D3" w:rsidRDefault="008610D3" w:rsidP="008610D3">
      <w:pPr>
        <w:pStyle w:val="Default"/>
        <w:jc w:val="center"/>
        <w:rPr>
          <w:sz w:val="22"/>
          <w:szCs w:val="22"/>
        </w:rPr>
      </w:pPr>
      <w:r>
        <w:rPr>
          <w:b/>
          <w:bCs/>
          <w:sz w:val="22"/>
          <w:szCs w:val="22"/>
        </w:rPr>
        <w:t>……………………………</w:t>
      </w:r>
    </w:p>
    <w:p w:rsidR="008610D3" w:rsidRDefault="008610D3" w:rsidP="008610D3">
      <w:pPr>
        <w:pStyle w:val="Default"/>
        <w:jc w:val="center"/>
        <w:rPr>
          <w:sz w:val="22"/>
          <w:szCs w:val="22"/>
        </w:rPr>
      </w:pPr>
      <w:r>
        <w:rPr>
          <w:sz w:val="22"/>
          <w:szCs w:val="22"/>
        </w:rPr>
        <w:t>z dnia ……..</w:t>
      </w:r>
    </w:p>
    <w:p w:rsidR="008610D3" w:rsidRDefault="008610D3" w:rsidP="008610D3">
      <w:pPr>
        <w:pStyle w:val="Default"/>
        <w:jc w:val="center"/>
        <w:rPr>
          <w:sz w:val="22"/>
          <w:szCs w:val="22"/>
        </w:rPr>
      </w:pPr>
    </w:p>
    <w:p w:rsidR="008610D3" w:rsidRDefault="008610D3" w:rsidP="008610D3">
      <w:pPr>
        <w:pStyle w:val="Default"/>
        <w:jc w:val="both"/>
        <w:rPr>
          <w:b/>
          <w:bCs/>
          <w:sz w:val="22"/>
          <w:szCs w:val="22"/>
        </w:rPr>
      </w:pPr>
      <w:r>
        <w:rPr>
          <w:b/>
          <w:bCs/>
          <w:sz w:val="22"/>
          <w:szCs w:val="22"/>
        </w:rPr>
        <w:t xml:space="preserve">w sprawie stosowania zielonych zamówień publicznych w ramach procedury stosowania zamówień publicznych, których wartość określa art. 2 ust. 1 pkt 1 ustawy </w:t>
      </w:r>
      <w:r>
        <w:rPr>
          <w:sz w:val="22"/>
          <w:szCs w:val="22"/>
        </w:rPr>
        <w:t xml:space="preserve">z dnia 11 września 2019 r. </w:t>
      </w:r>
      <w:r>
        <w:rPr>
          <w:b/>
          <w:bCs/>
          <w:sz w:val="22"/>
          <w:szCs w:val="22"/>
        </w:rPr>
        <w:t xml:space="preserve">- Prawo zamówień publicznych oraz nie przekracza kwoty określanej w art. 3 ust. 2 i 3 ustawy </w:t>
      </w:r>
      <w:r>
        <w:rPr>
          <w:sz w:val="22"/>
          <w:szCs w:val="22"/>
        </w:rPr>
        <w:t xml:space="preserve">z dnia 11 września 2019 r. </w:t>
      </w:r>
      <w:r>
        <w:rPr>
          <w:b/>
          <w:bCs/>
          <w:sz w:val="22"/>
          <w:szCs w:val="22"/>
        </w:rPr>
        <w:t>- Prawo zamówień publicznych</w:t>
      </w:r>
    </w:p>
    <w:p w:rsidR="008610D3" w:rsidRDefault="008610D3" w:rsidP="008610D3">
      <w:pPr>
        <w:pStyle w:val="Default"/>
        <w:jc w:val="center"/>
        <w:rPr>
          <w:sz w:val="22"/>
          <w:szCs w:val="22"/>
        </w:rPr>
      </w:pPr>
    </w:p>
    <w:p w:rsidR="008610D3" w:rsidRPr="008610D3" w:rsidRDefault="008610D3" w:rsidP="008610D3">
      <w:pPr>
        <w:pStyle w:val="Default"/>
        <w:jc w:val="both"/>
        <w:rPr>
          <w:sz w:val="22"/>
          <w:szCs w:val="22"/>
        </w:rPr>
      </w:pPr>
      <w:r>
        <w:rPr>
          <w:sz w:val="22"/>
          <w:szCs w:val="22"/>
        </w:rPr>
        <w:t>Na podstawie art. 31 i art. 33 ust. 3 i 5 ustawy z dnia 8 marca 1990 r. o samorządzie gminnym (</w:t>
      </w:r>
      <w:proofErr w:type="spellStart"/>
      <w:r>
        <w:rPr>
          <w:sz w:val="22"/>
          <w:szCs w:val="22"/>
        </w:rPr>
        <w:t>t.j</w:t>
      </w:r>
      <w:proofErr w:type="spellEnd"/>
      <w:r>
        <w:rPr>
          <w:sz w:val="22"/>
          <w:szCs w:val="22"/>
        </w:rPr>
        <w:t xml:space="preserve">. Dz.U. …………………. </w:t>
      </w:r>
      <w:r>
        <w:rPr>
          <w:sz w:val="22"/>
          <w:szCs w:val="22"/>
        </w:rPr>
        <w:t>z </w:t>
      </w:r>
      <w:proofErr w:type="spellStart"/>
      <w:r>
        <w:rPr>
          <w:sz w:val="22"/>
          <w:szCs w:val="22"/>
        </w:rPr>
        <w:t>późn</w:t>
      </w:r>
      <w:proofErr w:type="spellEnd"/>
      <w:r>
        <w:rPr>
          <w:sz w:val="22"/>
          <w:szCs w:val="22"/>
        </w:rPr>
        <w:t>. zm.) w zw. z art. 94 i 96 ust. 1 ustawy z dnia 11 września 2019 r. Prawo zamówień publicznych (</w:t>
      </w:r>
      <w:proofErr w:type="spellStart"/>
      <w:r>
        <w:rPr>
          <w:sz w:val="22"/>
          <w:szCs w:val="22"/>
        </w:rPr>
        <w:t>t.j</w:t>
      </w:r>
      <w:proofErr w:type="spellEnd"/>
      <w:r>
        <w:rPr>
          <w:sz w:val="22"/>
          <w:szCs w:val="22"/>
        </w:rPr>
        <w:t xml:space="preserve">. Dz. U. ……………….. z </w:t>
      </w:r>
      <w:proofErr w:type="spellStart"/>
      <w:r>
        <w:rPr>
          <w:sz w:val="22"/>
          <w:szCs w:val="22"/>
        </w:rPr>
        <w:t>późn</w:t>
      </w:r>
      <w:proofErr w:type="spellEnd"/>
      <w:r>
        <w:rPr>
          <w:sz w:val="22"/>
          <w:szCs w:val="22"/>
        </w:rPr>
        <w:t>. zm.) zarządzam co następuje:</w:t>
      </w:r>
    </w:p>
    <w:p w:rsidR="003B65F1" w:rsidRDefault="003B65F1"/>
    <w:p w:rsidR="008610D3" w:rsidRDefault="008610D3" w:rsidP="008610D3">
      <w:pPr>
        <w:pStyle w:val="Default"/>
        <w:jc w:val="center"/>
        <w:rPr>
          <w:sz w:val="22"/>
          <w:szCs w:val="22"/>
        </w:rPr>
      </w:pPr>
      <w:r>
        <w:rPr>
          <w:sz w:val="22"/>
          <w:szCs w:val="22"/>
        </w:rPr>
        <w:t xml:space="preserve">§ </w:t>
      </w:r>
      <w:r>
        <w:rPr>
          <w:sz w:val="22"/>
          <w:szCs w:val="22"/>
        </w:rPr>
        <w:t>1</w:t>
      </w:r>
    </w:p>
    <w:p w:rsidR="008610D3" w:rsidRDefault="008610D3" w:rsidP="008610D3">
      <w:pPr>
        <w:pStyle w:val="Default"/>
        <w:jc w:val="center"/>
        <w:rPr>
          <w:sz w:val="22"/>
          <w:szCs w:val="22"/>
        </w:rPr>
      </w:pPr>
    </w:p>
    <w:p w:rsidR="008610D3" w:rsidRDefault="008610D3" w:rsidP="008610D3">
      <w:pPr>
        <w:pStyle w:val="Default"/>
        <w:jc w:val="both"/>
        <w:rPr>
          <w:sz w:val="22"/>
          <w:szCs w:val="22"/>
        </w:rPr>
      </w:pPr>
      <w:r>
        <w:rPr>
          <w:sz w:val="22"/>
          <w:szCs w:val="22"/>
        </w:rPr>
        <w:t xml:space="preserve">W celu realizacji celów Konsorcjum w ramach Programu LIFE IP LIFE AFTER COAL, którego Partnerem jest ……………………. oraz w związku z realizacją założeń „Strategii na rzecz Neutralności Klimatycznej Wielkopolska Wschodnia 2040” zaleca się pracownikom Urzędu …………… oraz jednostek organizacyjnych …………………. stosowanie wymagań związanych z realizacją zamówienia, które mogą obejmować aspekty środowiskowe lub inne rozwiązania wpływające pozytywnie na środowisko (zwane dalej zielonymi zamówieniami), których wartość określa art. 2 ust. 1 pkt 1 ustawy z dnia 11 września 2019 r. - Prawo zamówień publicznych oraz nie przekracza kwoty określanej w art. 3 ust. 2 i 3 ustawy z dnia 11 września 2019 r. - Prawo zamówień publicznych. </w:t>
      </w:r>
    </w:p>
    <w:p w:rsidR="008610D3" w:rsidRDefault="008610D3" w:rsidP="008610D3">
      <w:pPr>
        <w:pStyle w:val="Default"/>
        <w:jc w:val="both"/>
        <w:rPr>
          <w:sz w:val="22"/>
          <w:szCs w:val="22"/>
        </w:rPr>
      </w:pPr>
    </w:p>
    <w:p w:rsidR="008610D3" w:rsidRDefault="008610D3" w:rsidP="008610D3">
      <w:pPr>
        <w:pStyle w:val="Default"/>
        <w:jc w:val="center"/>
        <w:rPr>
          <w:sz w:val="22"/>
          <w:szCs w:val="22"/>
        </w:rPr>
      </w:pPr>
      <w:r>
        <w:rPr>
          <w:sz w:val="22"/>
          <w:szCs w:val="22"/>
        </w:rPr>
        <w:t>§ 2</w:t>
      </w:r>
    </w:p>
    <w:p w:rsidR="008610D3" w:rsidRDefault="008610D3" w:rsidP="008610D3">
      <w:pPr>
        <w:pStyle w:val="Default"/>
        <w:jc w:val="both"/>
        <w:rPr>
          <w:sz w:val="22"/>
          <w:szCs w:val="22"/>
        </w:rPr>
      </w:pPr>
    </w:p>
    <w:p w:rsidR="008610D3" w:rsidRDefault="008610D3" w:rsidP="008610D3">
      <w:pPr>
        <w:pStyle w:val="Default"/>
        <w:jc w:val="both"/>
        <w:rPr>
          <w:sz w:val="22"/>
          <w:szCs w:val="22"/>
        </w:rPr>
      </w:pPr>
      <w:r>
        <w:rPr>
          <w:sz w:val="22"/>
          <w:szCs w:val="22"/>
        </w:rPr>
        <w:t xml:space="preserve">Zasady postępowania w zakresie stosowania zielonych zamówień, o którym mowa w § 1 określa „Regulamin w sprawie stosowania zielonych zamówień w procedurze zamówień publicznych, których wartość określa art. 2 ust. 1 pkt 1 ustawy z dnia 11 września 2019 r. - Prawo zamówień publicznych oraz nie przekracza kwoty określanej w art. 3 ust. 2 i 3 ustawy z dnia 11 września 2019 r. - Prawo zamówień publicznych”, stanowiący załącznik nr 1 do niniejszego Zarządzenia. </w:t>
      </w:r>
    </w:p>
    <w:p w:rsidR="008610D3" w:rsidRDefault="008610D3" w:rsidP="008610D3">
      <w:pPr>
        <w:pStyle w:val="Default"/>
        <w:jc w:val="both"/>
        <w:rPr>
          <w:sz w:val="22"/>
          <w:szCs w:val="22"/>
        </w:rPr>
      </w:pPr>
    </w:p>
    <w:p w:rsidR="008610D3" w:rsidRDefault="008610D3" w:rsidP="008610D3">
      <w:pPr>
        <w:pStyle w:val="Default"/>
        <w:jc w:val="center"/>
        <w:rPr>
          <w:sz w:val="22"/>
          <w:szCs w:val="22"/>
        </w:rPr>
      </w:pPr>
      <w:r>
        <w:rPr>
          <w:sz w:val="22"/>
          <w:szCs w:val="22"/>
        </w:rPr>
        <w:t>§ 3</w:t>
      </w:r>
    </w:p>
    <w:p w:rsidR="008610D3" w:rsidRDefault="008610D3" w:rsidP="008610D3">
      <w:pPr>
        <w:pStyle w:val="Default"/>
        <w:jc w:val="both"/>
        <w:rPr>
          <w:sz w:val="22"/>
          <w:szCs w:val="22"/>
        </w:rPr>
      </w:pPr>
    </w:p>
    <w:p w:rsidR="008610D3" w:rsidRDefault="008610D3" w:rsidP="008610D3">
      <w:pPr>
        <w:pStyle w:val="Default"/>
        <w:jc w:val="both"/>
        <w:rPr>
          <w:sz w:val="22"/>
          <w:szCs w:val="22"/>
        </w:rPr>
      </w:pPr>
      <w:r>
        <w:rPr>
          <w:sz w:val="22"/>
          <w:szCs w:val="22"/>
        </w:rPr>
        <w:t xml:space="preserve">Nadzór nad wykonaniem zarządzenia powierza się Gminnemu Doradcy Klimatycznemu. </w:t>
      </w:r>
    </w:p>
    <w:p w:rsidR="008610D3" w:rsidRDefault="008610D3" w:rsidP="008610D3">
      <w:pPr>
        <w:pStyle w:val="Default"/>
        <w:jc w:val="both"/>
        <w:rPr>
          <w:sz w:val="22"/>
          <w:szCs w:val="22"/>
        </w:rPr>
      </w:pPr>
    </w:p>
    <w:p w:rsidR="008610D3" w:rsidRDefault="008610D3" w:rsidP="008610D3">
      <w:pPr>
        <w:pStyle w:val="Default"/>
        <w:jc w:val="center"/>
        <w:rPr>
          <w:sz w:val="22"/>
          <w:szCs w:val="22"/>
        </w:rPr>
      </w:pPr>
      <w:r>
        <w:rPr>
          <w:sz w:val="22"/>
          <w:szCs w:val="22"/>
        </w:rPr>
        <w:t>§ 4</w:t>
      </w:r>
    </w:p>
    <w:p w:rsidR="008610D3" w:rsidRDefault="008610D3" w:rsidP="008610D3">
      <w:pPr>
        <w:pStyle w:val="Default"/>
        <w:jc w:val="both"/>
        <w:rPr>
          <w:sz w:val="22"/>
          <w:szCs w:val="22"/>
        </w:rPr>
      </w:pPr>
      <w:r>
        <w:rPr>
          <w:sz w:val="22"/>
          <w:szCs w:val="22"/>
        </w:rPr>
        <w:t xml:space="preserve">Wykonanie zarządzenia powierza się ……………… </w:t>
      </w:r>
    </w:p>
    <w:p w:rsidR="008610D3" w:rsidRDefault="008610D3" w:rsidP="008610D3">
      <w:pPr>
        <w:pStyle w:val="Default"/>
        <w:jc w:val="both"/>
        <w:rPr>
          <w:sz w:val="22"/>
          <w:szCs w:val="22"/>
        </w:rPr>
      </w:pPr>
    </w:p>
    <w:p w:rsidR="008610D3" w:rsidRDefault="008610D3" w:rsidP="008610D3">
      <w:pPr>
        <w:pStyle w:val="Default"/>
        <w:jc w:val="center"/>
        <w:rPr>
          <w:sz w:val="22"/>
          <w:szCs w:val="22"/>
        </w:rPr>
      </w:pPr>
      <w:r>
        <w:rPr>
          <w:sz w:val="22"/>
          <w:szCs w:val="22"/>
        </w:rPr>
        <w:t>§ 5</w:t>
      </w:r>
    </w:p>
    <w:p w:rsidR="008610D3" w:rsidRDefault="008610D3" w:rsidP="008610D3">
      <w:pPr>
        <w:jc w:val="both"/>
      </w:pPr>
      <w:r>
        <w:t>Zarządzenie wchodzi w życie z dniem podpisania.</w:t>
      </w:r>
    </w:p>
    <w:p w:rsidR="008610D3" w:rsidRDefault="008610D3" w:rsidP="008610D3">
      <w:pPr>
        <w:jc w:val="both"/>
      </w:pPr>
    </w:p>
    <w:p w:rsidR="008610D3" w:rsidRDefault="008610D3" w:rsidP="008610D3">
      <w:pPr>
        <w:jc w:val="right"/>
      </w:pPr>
      <w:r>
        <w:t>Załącznik nr 1 do Zarządzenia Nr ............. ……………. z dnia …………</w:t>
      </w:r>
    </w:p>
    <w:p w:rsidR="008610D3" w:rsidRDefault="008610D3" w:rsidP="008610D3">
      <w:pPr>
        <w:jc w:val="both"/>
      </w:pPr>
    </w:p>
    <w:p w:rsidR="008610D3" w:rsidRPr="008610D3" w:rsidRDefault="008610D3" w:rsidP="008610D3">
      <w:pPr>
        <w:jc w:val="both"/>
        <w:rPr>
          <w:b/>
        </w:rPr>
      </w:pPr>
      <w:r w:rsidRPr="008610D3">
        <w:rPr>
          <w:b/>
        </w:rPr>
        <w:t>Regulamin w sprawie stosowania zielonych zamówień w procedurze zamówień publicznych, których wartość określa art. 2 ust. 1 pkt 1 ustawy z dnia 11 września 2019 r. - Prawo zamówień publicznych oraz nie przekracza kwoty określanej w art. 3 ust. 2 i 3 ustawy z dnia 11 września 2019 r. - Prawo zamówień publicznych, realizowanych przez ……………</w:t>
      </w:r>
    </w:p>
    <w:p w:rsidR="008610D3" w:rsidRDefault="008610D3" w:rsidP="008610D3">
      <w:pPr>
        <w:jc w:val="center"/>
      </w:pPr>
      <w:r>
        <w:t>§ 1</w:t>
      </w:r>
    </w:p>
    <w:p w:rsidR="008610D3" w:rsidRPr="008610D3" w:rsidRDefault="008610D3" w:rsidP="008610D3">
      <w:pPr>
        <w:jc w:val="center"/>
        <w:rPr>
          <w:b/>
        </w:rPr>
      </w:pPr>
      <w:r w:rsidRPr="008610D3">
        <w:rPr>
          <w:b/>
        </w:rPr>
        <w:t>Postanowienia ogólne</w:t>
      </w:r>
    </w:p>
    <w:p w:rsidR="008610D3" w:rsidRDefault="008610D3" w:rsidP="008610D3">
      <w:pPr>
        <w:jc w:val="both"/>
      </w:pPr>
      <w:r>
        <w:t>Ilekroć w Regulaminie jest mowa o:</w:t>
      </w:r>
    </w:p>
    <w:p w:rsidR="008610D3" w:rsidRDefault="008610D3" w:rsidP="008610D3">
      <w:pPr>
        <w:jc w:val="both"/>
      </w:pPr>
      <w:r>
        <w:lastRenderedPageBreak/>
        <w:t xml:space="preserve">1) ustawie </w:t>
      </w:r>
      <w:proofErr w:type="spellStart"/>
      <w:r>
        <w:t>Pzp</w:t>
      </w:r>
      <w:proofErr w:type="spellEnd"/>
      <w:r>
        <w:t xml:space="preserve"> – należy przez to rozumieć ustawę z dnia 11 września 2019 r. – Prawo zamówień publicznych (</w:t>
      </w:r>
      <w:proofErr w:type="spellStart"/>
      <w:r>
        <w:t>t.j</w:t>
      </w:r>
      <w:proofErr w:type="spellEnd"/>
      <w:r>
        <w:t xml:space="preserve">. Dz. U. z 2024 r. poz. 1465 z </w:t>
      </w:r>
      <w:proofErr w:type="spellStart"/>
      <w:r>
        <w:t>późn</w:t>
      </w:r>
      <w:proofErr w:type="spellEnd"/>
      <w:r>
        <w:t>. zm.);</w:t>
      </w:r>
    </w:p>
    <w:p w:rsidR="008610D3" w:rsidRDefault="008610D3" w:rsidP="008610D3">
      <w:pPr>
        <w:jc w:val="both"/>
      </w:pPr>
      <w:r>
        <w:t>2) zielone zamówienia publiczne - należy przez to rozumieć takie zamówienia publiczne, w których stosowane są jako dodatkowe kryteria aspekty środowiskowe lub aspekty środowiskowe wraz z innymi narzędziami przewidzianymi w</w:t>
      </w:r>
      <w:r>
        <w:t> </w:t>
      </w:r>
      <w:r>
        <w:t>przepisach Prawa Zamówień Publicznych, mającymi na celu pozytywnie wpływać na środowisko w związku z</w:t>
      </w:r>
      <w:r>
        <w:t> </w:t>
      </w:r>
      <w:r>
        <w:t>realizacją zamówienia publicznego.</w:t>
      </w:r>
    </w:p>
    <w:p w:rsidR="008610D3" w:rsidRDefault="008610D3" w:rsidP="008610D3">
      <w:pPr>
        <w:jc w:val="both"/>
      </w:pPr>
      <w:r>
        <w:t xml:space="preserve">3) aspekcie środowiskowym – należy przez to rozumieć kryterium oceny ofert stosowane w postępowaniu o udzielenie zamówienia, o którym mowa w art. 96 ustawy </w:t>
      </w:r>
      <w:proofErr w:type="spellStart"/>
      <w:r>
        <w:t>Pzp</w:t>
      </w:r>
      <w:proofErr w:type="spellEnd"/>
      <w:r>
        <w:t>, odnoszące się do aspektów środowiskowych, tj. sposobów w jaki wykonawca w swojej działalności przyczynia się do jak najmniejszego negatywnego wpływu na środowisko w</w:t>
      </w:r>
      <w:r>
        <w:t> </w:t>
      </w:r>
      <w:r>
        <w:t>szczególności poprzez optymalizację zużycia energii, wody, wykorzystywania odpadów. Aspektami środowiskowymi mogą być, w szczególności, kryteria odnoszące się do spełniania przez wykonawców wymagań odpowiednich systemów lub norm zarządzania środowiskowego, dotyczące wdrożenia przez nich określonych procesów minimalizujących negatywny wpływ na środowisko bądź zastosowania określonych środków zarządzania środowiskowego, które są właściwe dla danego rodzaju i przedmiotu zamówienia;</w:t>
      </w:r>
    </w:p>
    <w:p w:rsidR="008610D3" w:rsidRDefault="008610D3" w:rsidP="008610D3">
      <w:pPr>
        <w:jc w:val="both"/>
      </w:pPr>
      <w:r>
        <w:t>4) Zlecającym – należy przez to rozumieć pracowników Urzędu …………………. oraz jednostek organizacyjnych ………….. przygotowujących umowy z Wykonawcami;</w:t>
      </w:r>
    </w:p>
    <w:p w:rsidR="008610D3" w:rsidRDefault="008610D3" w:rsidP="008610D3">
      <w:pPr>
        <w:jc w:val="both"/>
      </w:pPr>
      <w:r>
        <w:t xml:space="preserve">5) Regulaminie – należy przez to rozmieć niniejszy Regulamin w zakresie stosowania zielonych zamówień w procedurze zamówień publicznych, których wartość określa art. 2 ust. 1 pkt 1 ustawy </w:t>
      </w:r>
      <w:proofErr w:type="spellStart"/>
      <w:r>
        <w:t>Pzp</w:t>
      </w:r>
      <w:proofErr w:type="spellEnd"/>
      <w:r>
        <w:t xml:space="preserve"> oraz</w:t>
      </w:r>
      <w:r>
        <w:t xml:space="preserve"> </w:t>
      </w:r>
      <w:r>
        <w:t>nie przekracza kwoty określanej w</w:t>
      </w:r>
      <w:r>
        <w:t> </w:t>
      </w:r>
      <w:r>
        <w:t xml:space="preserve">art. 3 ust. 2 i 3 ustawy </w:t>
      </w:r>
      <w:proofErr w:type="spellStart"/>
      <w:r>
        <w:t>Pzp</w:t>
      </w:r>
      <w:proofErr w:type="spellEnd"/>
      <w:r>
        <w:t xml:space="preserve">, realizowanych przez …………………. </w:t>
      </w:r>
    </w:p>
    <w:p w:rsidR="008610D3" w:rsidRDefault="008610D3" w:rsidP="008610D3">
      <w:pPr>
        <w:jc w:val="center"/>
      </w:pPr>
      <w:r>
        <w:t>§ 2</w:t>
      </w:r>
    </w:p>
    <w:p w:rsidR="008610D3" w:rsidRDefault="008610D3" w:rsidP="008610D3">
      <w:pPr>
        <w:jc w:val="both"/>
      </w:pPr>
      <w:r>
        <w:t>Niniejszy Regulamin dotyczy stosowania zielonych zamówień, w tym, w szczególności, aspektów środowiskowych, w</w:t>
      </w:r>
      <w:r>
        <w:t> </w:t>
      </w:r>
      <w:r>
        <w:t xml:space="preserve">procedurze zamówień publicznych, których wartość określa art. 2 ust. 1 pkt 1 ustawy </w:t>
      </w:r>
      <w:proofErr w:type="spellStart"/>
      <w:r>
        <w:t>Pzp</w:t>
      </w:r>
      <w:proofErr w:type="spellEnd"/>
      <w:r>
        <w:t xml:space="preserve"> oraz nie przekracza kwoty określanej w art. 3 ust. 2 i 3 ustawy </w:t>
      </w:r>
      <w:proofErr w:type="spellStart"/>
      <w:r>
        <w:t>Pzp</w:t>
      </w:r>
      <w:proofErr w:type="spellEnd"/>
      <w:r>
        <w:t>, realizowanych przez Zlecającego.</w:t>
      </w:r>
    </w:p>
    <w:p w:rsidR="008610D3" w:rsidRDefault="008610D3" w:rsidP="008610D3">
      <w:pPr>
        <w:jc w:val="center"/>
      </w:pPr>
      <w:r>
        <w:t>§ 3</w:t>
      </w:r>
    </w:p>
    <w:p w:rsidR="008610D3" w:rsidRPr="008610D3" w:rsidRDefault="008610D3" w:rsidP="008610D3">
      <w:pPr>
        <w:jc w:val="center"/>
        <w:rPr>
          <w:b/>
        </w:rPr>
      </w:pPr>
      <w:r w:rsidRPr="008610D3">
        <w:rPr>
          <w:b/>
        </w:rPr>
        <w:t>Zasady postępowania w zakresie stosowania zielonych zamówień</w:t>
      </w:r>
    </w:p>
    <w:p w:rsidR="008610D3" w:rsidRDefault="008610D3" w:rsidP="008610D3">
      <w:pPr>
        <w:jc w:val="both"/>
      </w:pPr>
      <w:r>
        <w:t>1. Przed wszczęciem postępowania o udzielenie zamówienia publicznego na usługi i roboty budowlane objętego Regulaminem, Zlecający powinien zweryfikować możliwość zastosowania zielonego zamówienia, biorąc pod uwagę w</w:t>
      </w:r>
      <w:r>
        <w:t> </w:t>
      </w:r>
      <w:r>
        <w:t xml:space="preserve">szczególności zasadę efektywności określoną w art. 17 ust. 1 pkt 2 ustawy </w:t>
      </w:r>
      <w:proofErr w:type="spellStart"/>
      <w:r>
        <w:t>Pzp</w:t>
      </w:r>
      <w:proofErr w:type="spellEnd"/>
      <w:r>
        <w:t>, cel zamówienia, spodziewane efekty środowiskowe, wynikłe z zastosowania danej klauzuli, koszty oraz możliwości spełnienia tych wymogów przez potencjalnych wykonawców.</w:t>
      </w:r>
    </w:p>
    <w:p w:rsidR="008610D3" w:rsidRDefault="008610D3" w:rsidP="008610D3">
      <w:pPr>
        <w:jc w:val="both"/>
      </w:pPr>
      <w:r>
        <w:t>2. Ponadto Zlecający przed wszczęciem zamówienia publicznego rozważa możliwość zastosowania określonych aspektów środowiskowych jako warunków udziału w postępowaniu w zakresie posiadania uprawnień do wykonywania określonej działalności lub czynności, posiadania wiedzy i doświadczenia czy w zakresie dysponowania odpowiednim potencjałem technicznym oraz osobami zdolnymi do wykonania zamówienia.</w:t>
      </w:r>
    </w:p>
    <w:p w:rsidR="008610D3" w:rsidRDefault="008610D3" w:rsidP="008610D3">
      <w:pPr>
        <w:jc w:val="both"/>
      </w:pPr>
      <w:r>
        <w:t>3. W postępowaniach o udzielenie zamówienia publicznego na roboty budowlane i usługi objętego Regulaminem zaleca się stosowanie kryterium środowiskowego.</w:t>
      </w:r>
    </w:p>
    <w:p w:rsidR="008610D3" w:rsidRDefault="008610D3" w:rsidP="008610D3">
      <w:pPr>
        <w:jc w:val="both"/>
      </w:pPr>
      <w:r>
        <w:t>4. Zlecający może odstąpić od stosowania kryterium środowiskowego. Zlecający zobowiązany jest uzasadnić odstąpienie na piśmie.</w:t>
      </w:r>
    </w:p>
    <w:p w:rsidR="008610D3" w:rsidRDefault="008610D3" w:rsidP="008610D3">
      <w:pPr>
        <w:jc w:val="both"/>
      </w:pPr>
      <w:r>
        <w:t>5. Zlecający, który w danym zamówieniu objętym Regulaminem zastosował kryterium środowiskowe na etapie realizacji zamówienia, winien przewidzieć w warunkach zamówienia oraz w zawieranej umowie z wyłonionym wykonawcą narzędzia służące weryfikacji jego stosowania.</w:t>
      </w:r>
    </w:p>
    <w:p w:rsidR="008610D3" w:rsidRDefault="008610D3" w:rsidP="008610D3">
      <w:pPr>
        <w:jc w:val="both"/>
      </w:pPr>
    </w:p>
    <w:p w:rsidR="008610D3" w:rsidRDefault="008610D3" w:rsidP="008610D3">
      <w:pPr>
        <w:jc w:val="center"/>
      </w:pPr>
      <w:r>
        <w:t>§ 4</w:t>
      </w:r>
    </w:p>
    <w:p w:rsidR="008610D3" w:rsidRDefault="008610D3" w:rsidP="008610D3">
      <w:pPr>
        <w:jc w:val="both"/>
      </w:pPr>
      <w:r>
        <w:lastRenderedPageBreak/>
        <w:t>1. Zlecający powinien w planie zamówień publicznych wskazać te zamówienia, w których przewiduje zastosowanie zielonych zamówień publicznych.</w:t>
      </w:r>
    </w:p>
    <w:p w:rsidR="008610D3" w:rsidRDefault="008610D3" w:rsidP="008610D3">
      <w:pPr>
        <w:jc w:val="both"/>
      </w:pPr>
      <w:r>
        <w:t xml:space="preserve">2. Zlecający zobowiązany jest do przesyłania do Gminnego Doradcy Klimatycznego w terminie do dnia ………………… (31 stycznia?) każdego roku zestawienia postępowań o udzielenie zielonych zamówień, za poprzedni rok. Zestawienie sporządzane jest wg wzoru stanowiącego załącznik nr 1 do niniejszego Regulaminu i zawiera dane wskazane w tym załączniku. </w:t>
      </w:r>
    </w:p>
    <w:p w:rsidR="008610D3" w:rsidRDefault="008610D3" w:rsidP="008610D3">
      <w:pPr>
        <w:jc w:val="both"/>
      </w:pPr>
      <w:r>
        <w:t>3. Gminny Doradca Klimatyczny przekazuje zestawienia, o których mowa w ust. 2, do Stowarzyszenia Na Rzecz Spółdzielni Socjalnych (dalej zwane Stowarzyszeniem) jako Partnera Konsorcjum w ramach Programu LIFE IP LIFE AFTER COAL, odpowiedzialnego za opracowanie polityk, planów i instrumentów wykonawczych realizacji Regionalnej Strategii Na Rzecz Neutralności Klimatycznej Wschodniej Wielkopolski na poziomie Gmin i Powiatów - Członków Konsorcjum. Zestawienie to może być przesłane w wersji elektronicznej na wskazany przez Stowarzyszenie adres mailowy.</w:t>
      </w:r>
    </w:p>
    <w:p w:rsidR="008610D3" w:rsidRDefault="008610D3" w:rsidP="008610D3">
      <w:pPr>
        <w:jc w:val="both"/>
      </w:pPr>
    </w:p>
    <w:p w:rsidR="008610D3" w:rsidRDefault="008610D3" w:rsidP="008610D3">
      <w:pPr>
        <w:ind w:left="4956"/>
        <w:jc w:val="both"/>
        <w:rPr>
          <w:sz w:val="18"/>
          <w:szCs w:val="18"/>
        </w:rPr>
      </w:pPr>
      <w:r w:rsidRPr="008610D3">
        <w:rPr>
          <w:sz w:val="18"/>
          <w:szCs w:val="18"/>
        </w:rPr>
        <w:t>Załącznik nr 1 do Regulaminu w sprawie stosowania zielonych zamówień w</w:t>
      </w:r>
      <w:r>
        <w:rPr>
          <w:sz w:val="18"/>
          <w:szCs w:val="18"/>
        </w:rPr>
        <w:t> </w:t>
      </w:r>
      <w:r w:rsidRPr="008610D3">
        <w:rPr>
          <w:sz w:val="18"/>
          <w:szCs w:val="18"/>
        </w:rPr>
        <w:t>procedurze zamówień publicznych, których wartość określa art. 2 ust. 1 pkt 1 ustawy z dnia 11 września 2019 r. – Prawo zamówień publicznych oraz nie przekracza kwoty określone w art. 3 ust. 2 i 3 ustawy z dnia 11 września 2019 r. – Prawo zamówień publicznych, realizowanych przez ……………………………………….</w:t>
      </w:r>
    </w:p>
    <w:p w:rsidR="008610D3" w:rsidRDefault="008610D3" w:rsidP="008610D3">
      <w:pPr>
        <w:ind w:left="4248"/>
        <w:jc w:val="both"/>
        <w:rPr>
          <w:sz w:val="18"/>
          <w:szCs w:val="18"/>
        </w:rPr>
      </w:pPr>
    </w:p>
    <w:p w:rsidR="008610D3" w:rsidRDefault="008610D3" w:rsidP="008610D3">
      <w:pPr>
        <w:rPr>
          <w:b/>
          <w:bCs/>
        </w:rPr>
      </w:pPr>
      <w:r>
        <w:rPr>
          <w:b/>
          <w:bCs/>
        </w:rPr>
        <w:t>Zestawienie dotyczące postępowań o udzielenie zamówienia publicznego których wartość jest niższa niż progi unijne określone w art. 3 ustawy z dnia 11 września 2019 r. – Prawo zamówień publicznych za rok ………………………</w:t>
      </w:r>
    </w:p>
    <w:p w:rsidR="008610D3" w:rsidRDefault="008610D3" w:rsidP="008610D3">
      <w:pPr>
        <w:rPr>
          <w:b/>
          <w:bCs/>
        </w:rPr>
      </w:pPr>
      <w:bookmarkStart w:id="0" w:name="_GoBack"/>
      <w:bookmarkEnd w:id="0"/>
    </w:p>
    <w:p w:rsidR="008610D3" w:rsidRDefault="008610D3" w:rsidP="008610D3">
      <w:pPr>
        <w:jc w:val="center"/>
        <w:rPr>
          <w:b/>
          <w:bCs/>
        </w:rPr>
      </w:pPr>
    </w:p>
    <w:p w:rsidR="008610D3" w:rsidRPr="008610D3" w:rsidRDefault="008610D3" w:rsidP="008610D3">
      <w:pPr>
        <w:kinsoku w:val="0"/>
        <w:overflowPunct w:val="0"/>
        <w:autoSpaceDE w:val="0"/>
        <w:autoSpaceDN w:val="0"/>
        <w:adjustRightInd w:val="0"/>
        <w:spacing w:before="170" w:after="1" w:line="240" w:lineRule="auto"/>
        <w:rPr>
          <w:rFonts w:ascii="Times New Roman" w:hAnsi="Times New Roman" w:cs="Times New Roman"/>
          <w:sz w:val="20"/>
          <w:szCs w:val="20"/>
        </w:rPr>
      </w:pPr>
    </w:p>
    <w:tbl>
      <w:tblPr>
        <w:tblW w:w="9667" w:type="dxa"/>
        <w:tblInd w:w="134" w:type="dxa"/>
        <w:tblLayout w:type="fixed"/>
        <w:tblCellMar>
          <w:left w:w="0" w:type="dxa"/>
          <w:right w:w="0" w:type="dxa"/>
        </w:tblCellMar>
        <w:tblLook w:val="0000" w:firstRow="0" w:lastRow="0" w:firstColumn="0" w:lastColumn="0" w:noHBand="0" w:noVBand="0"/>
      </w:tblPr>
      <w:tblGrid>
        <w:gridCol w:w="384"/>
        <w:gridCol w:w="1446"/>
        <w:gridCol w:w="1662"/>
        <w:gridCol w:w="1329"/>
        <w:gridCol w:w="2196"/>
        <w:gridCol w:w="2650"/>
      </w:tblGrid>
      <w:tr w:rsidR="008610D3" w:rsidRPr="008610D3" w:rsidTr="008610D3">
        <w:tblPrEx>
          <w:tblCellMar>
            <w:top w:w="0" w:type="dxa"/>
            <w:left w:w="0" w:type="dxa"/>
            <w:bottom w:w="0" w:type="dxa"/>
            <w:right w:w="0" w:type="dxa"/>
          </w:tblCellMar>
        </w:tblPrEx>
        <w:trPr>
          <w:trHeight w:val="23"/>
        </w:trPr>
        <w:tc>
          <w:tcPr>
            <w:tcW w:w="384" w:type="dxa"/>
            <w:vMerge w:val="restart"/>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3" w:after="0" w:line="240" w:lineRule="auto"/>
              <w:ind w:left="111"/>
              <w:rPr>
                <w:rFonts w:ascii="Calibri" w:hAnsi="Calibri" w:cs="Calibri"/>
                <w:spacing w:val="-4"/>
                <w:sz w:val="18"/>
                <w:szCs w:val="18"/>
              </w:rPr>
            </w:pPr>
            <w:proofErr w:type="spellStart"/>
            <w:r w:rsidRPr="008610D3">
              <w:rPr>
                <w:rFonts w:ascii="Calibri" w:hAnsi="Calibri" w:cs="Calibri"/>
                <w:spacing w:val="-4"/>
                <w:sz w:val="18"/>
                <w:szCs w:val="18"/>
              </w:rPr>
              <w:t>l.p</w:t>
            </w:r>
            <w:proofErr w:type="spellEnd"/>
          </w:p>
          <w:p w:rsidR="008610D3" w:rsidRPr="008610D3" w:rsidRDefault="008610D3" w:rsidP="008610D3">
            <w:pPr>
              <w:kinsoku w:val="0"/>
              <w:overflowPunct w:val="0"/>
              <w:autoSpaceDE w:val="0"/>
              <w:autoSpaceDN w:val="0"/>
              <w:adjustRightInd w:val="0"/>
              <w:spacing w:before="16" w:after="0" w:line="240" w:lineRule="auto"/>
              <w:ind w:left="111"/>
              <w:rPr>
                <w:rFonts w:ascii="Calibri" w:hAnsi="Calibri" w:cs="Calibri"/>
                <w:spacing w:val="-10"/>
                <w:sz w:val="18"/>
                <w:szCs w:val="18"/>
              </w:rPr>
            </w:pPr>
            <w:r w:rsidRPr="008610D3">
              <w:rPr>
                <w:rFonts w:ascii="Calibri" w:hAnsi="Calibri" w:cs="Calibri"/>
                <w:spacing w:val="-10"/>
                <w:sz w:val="18"/>
                <w:szCs w:val="18"/>
              </w:rPr>
              <w:t>.</w:t>
            </w:r>
          </w:p>
        </w:tc>
        <w:tc>
          <w:tcPr>
            <w:tcW w:w="1446" w:type="dxa"/>
            <w:vMerge w:val="restart"/>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3" w:after="0"/>
              <w:ind w:left="106" w:right="193"/>
              <w:rPr>
                <w:rFonts w:ascii="Calibri" w:hAnsi="Calibri" w:cs="Calibri"/>
                <w:spacing w:val="-2"/>
                <w:sz w:val="18"/>
                <w:szCs w:val="18"/>
              </w:rPr>
            </w:pPr>
            <w:r w:rsidRPr="008610D3">
              <w:rPr>
                <w:rFonts w:ascii="Calibri" w:hAnsi="Calibri" w:cs="Calibri"/>
                <w:spacing w:val="-2"/>
                <w:sz w:val="18"/>
                <w:szCs w:val="18"/>
              </w:rPr>
              <w:t>Przedmiot</w:t>
            </w:r>
            <w:r w:rsidRPr="008610D3">
              <w:rPr>
                <w:rFonts w:ascii="Calibri" w:hAnsi="Calibri" w:cs="Calibri"/>
                <w:sz w:val="18"/>
                <w:szCs w:val="18"/>
              </w:rPr>
              <w:t xml:space="preserve"> zamówienia</w:t>
            </w:r>
            <w:r w:rsidRPr="008610D3">
              <w:rPr>
                <w:rFonts w:ascii="Calibri" w:hAnsi="Calibri" w:cs="Calibri"/>
                <w:spacing w:val="-11"/>
                <w:sz w:val="18"/>
                <w:szCs w:val="18"/>
              </w:rPr>
              <w:t xml:space="preserve"> </w:t>
            </w:r>
            <w:r w:rsidRPr="008610D3">
              <w:rPr>
                <w:rFonts w:ascii="Calibri" w:hAnsi="Calibri" w:cs="Calibri"/>
                <w:sz w:val="18"/>
                <w:szCs w:val="18"/>
              </w:rPr>
              <w:t>(w tym</w:t>
            </w:r>
            <w:r w:rsidRPr="008610D3">
              <w:rPr>
                <w:rFonts w:ascii="Calibri" w:hAnsi="Calibri" w:cs="Calibri"/>
                <w:spacing w:val="-1"/>
                <w:sz w:val="18"/>
                <w:szCs w:val="18"/>
              </w:rPr>
              <w:t xml:space="preserve"> </w:t>
            </w:r>
            <w:r w:rsidRPr="008610D3">
              <w:rPr>
                <w:rFonts w:ascii="Calibri" w:hAnsi="Calibri" w:cs="Calibri"/>
                <w:sz w:val="18"/>
                <w:szCs w:val="18"/>
              </w:rPr>
              <w:t>sygn.</w:t>
            </w:r>
            <w:r w:rsidRPr="008610D3">
              <w:rPr>
                <w:rFonts w:ascii="Calibri" w:hAnsi="Calibri" w:cs="Calibri"/>
                <w:spacing w:val="-4"/>
                <w:sz w:val="18"/>
                <w:szCs w:val="18"/>
              </w:rPr>
              <w:t xml:space="preserve"> </w:t>
            </w:r>
            <w:r w:rsidRPr="008610D3">
              <w:rPr>
                <w:rFonts w:ascii="Calibri" w:hAnsi="Calibri" w:cs="Calibri"/>
                <w:sz w:val="18"/>
                <w:szCs w:val="18"/>
              </w:rPr>
              <w:t xml:space="preserve">data </w:t>
            </w:r>
            <w:r w:rsidRPr="008610D3">
              <w:rPr>
                <w:rFonts w:ascii="Calibri" w:hAnsi="Calibri" w:cs="Calibri"/>
                <w:spacing w:val="-2"/>
                <w:sz w:val="18"/>
                <w:szCs w:val="18"/>
              </w:rPr>
              <w:t>ogłoszenia)</w:t>
            </w:r>
          </w:p>
        </w:tc>
        <w:tc>
          <w:tcPr>
            <w:tcW w:w="1662" w:type="dxa"/>
            <w:vMerge w:val="restart"/>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3" w:after="0" w:line="256" w:lineRule="auto"/>
              <w:ind w:left="107" w:right="327"/>
              <w:rPr>
                <w:rFonts w:ascii="Calibri" w:hAnsi="Calibri" w:cs="Calibri"/>
                <w:spacing w:val="-2"/>
                <w:sz w:val="18"/>
                <w:szCs w:val="18"/>
              </w:rPr>
            </w:pPr>
            <w:r w:rsidRPr="008610D3">
              <w:rPr>
                <w:rFonts w:ascii="Calibri" w:hAnsi="Calibri" w:cs="Calibri"/>
                <w:sz w:val="18"/>
                <w:szCs w:val="18"/>
              </w:rPr>
              <w:t>Tryb</w:t>
            </w:r>
            <w:r w:rsidRPr="008610D3">
              <w:rPr>
                <w:rFonts w:ascii="Calibri" w:hAnsi="Calibri" w:cs="Calibri"/>
                <w:spacing w:val="-11"/>
                <w:sz w:val="18"/>
                <w:szCs w:val="18"/>
              </w:rPr>
              <w:t xml:space="preserve"> </w:t>
            </w:r>
            <w:r w:rsidRPr="008610D3">
              <w:rPr>
                <w:rFonts w:ascii="Calibri" w:hAnsi="Calibri" w:cs="Calibri"/>
                <w:sz w:val="18"/>
                <w:szCs w:val="18"/>
              </w:rPr>
              <w:t xml:space="preserve">udzielenia </w:t>
            </w:r>
            <w:r w:rsidRPr="008610D3">
              <w:rPr>
                <w:rFonts w:ascii="Calibri" w:hAnsi="Calibri" w:cs="Calibri"/>
                <w:spacing w:val="-2"/>
                <w:sz w:val="18"/>
                <w:szCs w:val="18"/>
              </w:rPr>
              <w:t>zamówienia</w:t>
            </w:r>
          </w:p>
        </w:tc>
        <w:tc>
          <w:tcPr>
            <w:tcW w:w="1329" w:type="dxa"/>
            <w:vMerge w:val="restart"/>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3" w:after="0" w:line="256" w:lineRule="auto"/>
              <w:ind w:left="111" w:right="193"/>
              <w:rPr>
                <w:rFonts w:ascii="Calibri" w:hAnsi="Calibri" w:cs="Calibri"/>
                <w:spacing w:val="-2"/>
                <w:sz w:val="18"/>
                <w:szCs w:val="18"/>
              </w:rPr>
            </w:pPr>
            <w:r w:rsidRPr="008610D3">
              <w:rPr>
                <w:rFonts w:ascii="Calibri" w:hAnsi="Calibri" w:cs="Calibri"/>
                <w:spacing w:val="-2"/>
                <w:sz w:val="18"/>
                <w:szCs w:val="18"/>
              </w:rPr>
              <w:t>Wartość</w:t>
            </w:r>
            <w:r w:rsidRPr="008610D3">
              <w:rPr>
                <w:rFonts w:ascii="Calibri" w:hAnsi="Calibri" w:cs="Calibri"/>
                <w:sz w:val="18"/>
                <w:szCs w:val="18"/>
              </w:rPr>
              <w:t xml:space="preserve"> </w:t>
            </w:r>
            <w:r w:rsidRPr="008610D3">
              <w:rPr>
                <w:rFonts w:ascii="Calibri" w:hAnsi="Calibri" w:cs="Calibri"/>
                <w:spacing w:val="-2"/>
                <w:sz w:val="18"/>
                <w:szCs w:val="18"/>
              </w:rPr>
              <w:t>zamówienia</w:t>
            </w:r>
            <w:r w:rsidRPr="008610D3">
              <w:rPr>
                <w:rFonts w:ascii="Calibri" w:hAnsi="Calibri" w:cs="Calibri"/>
                <w:sz w:val="18"/>
                <w:szCs w:val="18"/>
              </w:rPr>
              <w:t xml:space="preserve"> </w:t>
            </w:r>
            <w:r w:rsidRPr="008610D3">
              <w:rPr>
                <w:rFonts w:ascii="Calibri" w:hAnsi="Calibri" w:cs="Calibri"/>
                <w:spacing w:val="-2"/>
                <w:sz w:val="18"/>
                <w:szCs w:val="18"/>
              </w:rPr>
              <w:t>brutto</w:t>
            </w:r>
          </w:p>
        </w:tc>
        <w:tc>
          <w:tcPr>
            <w:tcW w:w="4846" w:type="dxa"/>
            <w:gridSpan w:val="2"/>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before="1" w:after="0" w:line="240" w:lineRule="auto"/>
              <w:ind w:left="1364"/>
              <w:rPr>
                <w:rFonts w:ascii="Calibri" w:hAnsi="Calibri" w:cs="Calibri"/>
                <w:b/>
                <w:bCs/>
              </w:rPr>
            </w:pPr>
            <w:r w:rsidRPr="008610D3">
              <w:rPr>
                <w:rFonts w:ascii="Calibri" w:hAnsi="Calibri" w:cs="Calibri"/>
                <w:b/>
                <w:bCs/>
              </w:rPr>
              <w:t>Zastosowany aspekt środowiskowy</w:t>
            </w:r>
          </w:p>
        </w:tc>
      </w:tr>
      <w:tr w:rsidR="008610D3" w:rsidRPr="008610D3" w:rsidTr="008610D3">
        <w:tblPrEx>
          <w:tblCellMar>
            <w:top w:w="0" w:type="dxa"/>
            <w:left w:w="0" w:type="dxa"/>
            <w:bottom w:w="0" w:type="dxa"/>
            <w:right w:w="0" w:type="dxa"/>
          </w:tblCellMar>
        </w:tblPrEx>
        <w:trPr>
          <w:trHeight w:val="34"/>
        </w:trPr>
        <w:tc>
          <w:tcPr>
            <w:tcW w:w="384" w:type="dxa"/>
            <w:vMerge/>
            <w:tcBorders>
              <w:top w:val="nil"/>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170" w:after="1" w:line="240" w:lineRule="auto"/>
              <w:rPr>
                <w:rFonts w:ascii="Times New Roman" w:hAnsi="Times New Roman" w:cs="Times New Roman"/>
                <w:sz w:val="2"/>
                <w:szCs w:val="2"/>
              </w:rPr>
            </w:pPr>
          </w:p>
        </w:tc>
        <w:tc>
          <w:tcPr>
            <w:tcW w:w="1446" w:type="dxa"/>
            <w:vMerge/>
            <w:tcBorders>
              <w:top w:val="nil"/>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170" w:after="1" w:line="240" w:lineRule="auto"/>
              <w:rPr>
                <w:rFonts w:ascii="Times New Roman" w:hAnsi="Times New Roman" w:cs="Times New Roman"/>
                <w:sz w:val="2"/>
                <w:szCs w:val="2"/>
              </w:rPr>
            </w:pPr>
          </w:p>
        </w:tc>
        <w:tc>
          <w:tcPr>
            <w:tcW w:w="1662" w:type="dxa"/>
            <w:vMerge/>
            <w:tcBorders>
              <w:top w:val="nil"/>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170" w:after="1" w:line="240" w:lineRule="auto"/>
              <w:rPr>
                <w:rFonts w:ascii="Times New Roman" w:hAnsi="Times New Roman" w:cs="Times New Roman"/>
                <w:sz w:val="2"/>
                <w:szCs w:val="2"/>
              </w:rPr>
            </w:pPr>
          </w:p>
        </w:tc>
        <w:tc>
          <w:tcPr>
            <w:tcW w:w="1329" w:type="dxa"/>
            <w:vMerge/>
            <w:tcBorders>
              <w:top w:val="nil"/>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170" w:after="1" w:line="240" w:lineRule="auto"/>
              <w:rPr>
                <w:rFonts w:ascii="Times New Roman" w:hAnsi="Times New Roman" w:cs="Times New Roman"/>
                <w:sz w:val="2"/>
                <w:szCs w:val="2"/>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before="3" w:after="0" w:line="240" w:lineRule="auto"/>
              <w:ind w:left="108"/>
              <w:rPr>
                <w:rFonts w:ascii="Calibri" w:hAnsi="Calibri" w:cs="Calibri"/>
                <w:sz w:val="18"/>
                <w:szCs w:val="18"/>
              </w:rPr>
            </w:pPr>
            <w:r w:rsidRPr="008610D3">
              <w:rPr>
                <w:rFonts w:ascii="Calibri" w:hAnsi="Calibri" w:cs="Calibri"/>
                <w:sz w:val="18"/>
                <w:szCs w:val="18"/>
              </w:rPr>
              <w:t xml:space="preserve">Aspekty środowiskowe z art. 96 </w:t>
            </w:r>
            <w:proofErr w:type="spellStart"/>
            <w:r w:rsidRPr="008610D3">
              <w:rPr>
                <w:rFonts w:ascii="Calibri" w:hAnsi="Calibri" w:cs="Calibri"/>
                <w:sz w:val="18"/>
                <w:szCs w:val="18"/>
              </w:rPr>
              <w:t>pzp</w:t>
            </w:r>
            <w:proofErr w:type="spellEnd"/>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before="3" w:after="0" w:line="256" w:lineRule="auto"/>
              <w:ind w:left="108" w:right="65"/>
              <w:rPr>
                <w:rFonts w:ascii="Calibri" w:hAnsi="Calibri" w:cs="Calibri"/>
                <w:spacing w:val="-2"/>
                <w:sz w:val="18"/>
                <w:szCs w:val="18"/>
              </w:rPr>
            </w:pPr>
            <w:r w:rsidRPr="008610D3">
              <w:rPr>
                <w:rFonts w:ascii="Calibri" w:hAnsi="Calibri" w:cs="Calibri"/>
                <w:sz w:val="18"/>
                <w:szCs w:val="18"/>
              </w:rPr>
              <w:t xml:space="preserve">Stan realizacji na dzień sporządzenia </w:t>
            </w:r>
            <w:r w:rsidRPr="008610D3">
              <w:rPr>
                <w:rFonts w:ascii="Calibri" w:hAnsi="Calibri" w:cs="Calibri"/>
                <w:spacing w:val="-2"/>
                <w:sz w:val="18"/>
                <w:szCs w:val="18"/>
              </w:rPr>
              <w:t>zestawienia</w:t>
            </w: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r w:rsidR="008610D3" w:rsidRPr="008610D3" w:rsidTr="008610D3">
        <w:tblPrEx>
          <w:tblCellMar>
            <w:top w:w="0" w:type="dxa"/>
            <w:left w:w="0" w:type="dxa"/>
            <w:bottom w:w="0" w:type="dxa"/>
            <w:right w:w="0" w:type="dxa"/>
          </w:tblCellMar>
        </w:tblPrEx>
        <w:trPr>
          <w:trHeight w:val="20"/>
        </w:trPr>
        <w:tc>
          <w:tcPr>
            <w:tcW w:w="384"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44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662"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1329"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c>
          <w:tcPr>
            <w:tcW w:w="2649" w:type="dxa"/>
            <w:tcBorders>
              <w:top w:val="single" w:sz="4" w:space="0" w:color="000000"/>
              <w:left w:val="single" w:sz="4" w:space="0" w:color="000000"/>
              <w:bottom w:val="single" w:sz="4" w:space="0" w:color="000000"/>
              <w:right w:val="none" w:sz="6" w:space="0" w:color="auto"/>
            </w:tcBorders>
          </w:tcPr>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18"/>
                <w:szCs w:val="18"/>
              </w:rPr>
            </w:pPr>
          </w:p>
        </w:tc>
      </w:tr>
    </w:tbl>
    <w:p w:rsidR="008610D3" w:rsidRPr="008610D3" w:rsidRDefault="008610D3" w:rsidP="008610D3">
      <w:pPr>
        <w:kinsoku w:val="0"/>
        <w:overflowPunct w:val="0"/>
        <w:autoSpaceDE w:val="0"/>
        <w:autoSpaceDN w:val="0"/>
        <w:adjustRightInd w:val="0"/>
        <w:spacing w:before="220" w:after="1" w:line="240" w:lineRule="auto"/>
        <w:rPr>
          <w:rFonts w:ascii="Times New Roman" w:hAnsi="Times New Roman" w:cs="Times New Roman"/>
          <w:sz w:val="20"/>
          <w:szCs w:val="20"/>
        </w:rPr>
      </w:pPr>
    </w:p>
    <w:tbl>
      <w:tblPr>
        <w:tblW w:w="0" w:type="auto"/>
        <w:tblInd w:w="620" w:type="dxa"/>
        <w:tblLayout w:type="fixed"/>
        <w:tblCellMar>
          <w:left w:w="0" w:type="dxa"/>
          <w:right w:w="0" w:type="dxa"/>
        </w:tblCellMar>
        <w:tblLook w:val="0000" w:firstRow="0" w:lastRow="0" w:firstColumn="0" w:lastColumn="0" w:noHBand="0" w:noVBand="0"/>
      </w:tblPr>
      <w:tblGrid>
        <w:gridCol w:w="3455"/>
        <w:gridCol w:w="3487"/>
      </w:tblGrid>
      <w:tr w:rsidR="008610D3" w:rsidRPr="008610D3">
        <w:tblPrEx>
          <w:tblCellMar>
            <w:top w:w="0" w:type="dxa"/>
            <w:left w:w="0" w:type="dxa"/>
            <w:bottom w:w="0" w:type="dxa"/>
            <w:right w:w="0" w:type="dxa"/>
          </w:tblCellMar>
        </w:tblPrEx>
        <w:trPr>
          <w:trHeight w:val="1043"/>
        </w:trPr>
        <w:tc>
          <w:tcPr>
            <w:tcW w:w="3455" w:type="dxa"/>
            <w:tcBorders>
              <w:top w:val="none" w:sz="6" w:space="0" w:color="auto"/>
              <w:left w:val="none" w:sz="6" w:space="0" w:color="auto"/>
              <w:bottom w:val="none" w:sz="6" w:space="0" w:color="auto"/>
              <w:right w:val="none" w:sz="6" w:space="0" w:color="auto"/>
            </w:tcBorders>
          </w:tcPr>
          <w:p w:rsidR="008610D3" w:rsidRPr="008610D3" w:rsidRDefault="008610D3" w:rsidP="008610D3">
            <w:pPr>
              <w:kinsoku w:val="0"/>
              <w:overflowPunct w:val="0"/>
              <w:autoSpaceDE w:val="0"/>
              <w:autoSpaceDN w:val="0"/>
              <w:adjustRightInd w:val="0"/>
              <w:spacing w:after="0" w:line="204" w:lineRule="exact"/>
              <w:ind w:left="50"/>
              <w:rPr>
                <w:rFonts w:ascii="Calibri" w:hAnsi="Calibri" w:cs="Calibri"/>
                <w:spacing w:val="-2"/>
                <w:sz w:val="20"/>
                <w:szCs w:val="20"/>
              </w:rPr>
            </w:pPr>
            <w:r w:rsidRPr="008610D3">
              <w:rPr>
                <w:rFonts w:ascii="Calibri" w:hAnsi="Calibri" w:cs="Calibri"/>
                <w:spacing w:val="-2"/>
                <w:sz w:val="20"/>
                <w:szCs w:val="20"/>
              </w:rPr>
              <w:t>Sporządził</w:t>
            </w:r>
          </w:p>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20"/>
                <w:szCs w:val="20"/>
              </w:rPr>
            </w:pPr>
          </w:p>
          <w:p w:rsidR="008610D3" w:rsidRPr="008610D3" w:rsidRDefault="008610D3" w:rsidP="008610D3">
            <w:pPr>
              <w:kinsoku w:val="0"/>
              <w:overflowPunct w:val="0"/>
              <w:autoSpaceDE w:val="0"/>
              <w:autoSpaceDN w:val="0"/>
              <w:adjustRightInd w:val="0"/>
              <w:spacing w:before="1" w:after="0" w:line="220" w:lineRule="exact"/>
              <w:ind w:left="53"/>
              <w:rPr>
                <w:rFonts w:ascii="Calibri" w:hAnsi="Calibri" w:cs="Calibri"/>
                <w:spacing w:val="-2"/>
                <w:sz w:val="20"/>
                <w:szCs w:val="20"/>
              </w:rPr>
            </w:pPr>
            <w:r w:rsidRPr="008610D3">
              <w:rPr>
                <w:rFonts w:ascii="Calibri" w:hAnsi="Calibri" w:cs="Calibri"/>
                <w:spacing w:val="-2"/>
                <w:sz w:val="20"/>
                <w:szCs w:val="20"/>
              </w:rPr>
              <w:t>……………………………………..</w:t>
            </w:r>
          </w:p>
        </w:tc>
        <w:tc>
          <w:tcPr>
            <w:tcW w:w="3487" w:type="dxa"/>
            <w:tcBorders>
              <w:top w:val="none" w:sz="6" w:space="0" w:color="auto"/>
              <w:left w:val="none" w:sz="6" w:space="0" w:color="auto"/>
              <w:bottom w:val="none" w:sz="6" w:space="0" w:color="auto"/>
              <w:right w:val="none" w:sz="6" w:space="0" w:color="auto"/>
            </w:tcBorders>
          </w:tcPr>
          <w:p w:rsidR="008610D3" w:rsidRPr="008610D3" w:rsidRDefault="008610D3" w:rsidP="008610D3">
            <w:pPr>
              <w:kinsoku w:val="0"/>
              <w:overflowPunct w:val="0"/>
              <w:autoSpaceDE w:val="0"/>
              <w:autoSpaceDN w:val="0"/>
              <w:adjustRightInd w:val="0"/>
              <w:spacing w:after="0" w:line="204" w:lineRule="exact"/>
              <w:ind w:left="1364"/>
              <w:rPr>
                <w:rFonts w:ascii="Calibri" w:hAnsi="Calibri" w:cs="Calibri"/>
                <w:spacing w:val="-2"/>
                <w:sz w:val="20"/>
                <w:szCs w:val="20"/>
              </w:rPr>
            </w:pPr>
            <w:r w:rsidRPr="008610D3">
              <w:rPr>
                <w:rFonts w:ascii="Calibri" w:hAnsi="Calibri" w:cs="Calibri"/>
                <w:spacing w:val="-2"/>
                <w:sz w:val="20"/>
                <w:szCs w:val="20"/>
              </w:rPr>
              <w:t>Akceptacja</w:t>
            </w:r>
          </w:p>
          <w:p w:rsidR="008610D3" w:rsidRPr="008610D3" w:rsidRDefault="008610D3" w:rsidP="008610D3">
            <w:pPr>
              <w:kinsoku w:val="0"/>
              <w:overflowPunct w:val="0"/>
              <w:autoSpaceDE w:val="0"/>
              <w:autoSpaceDN w:val="0"/>
              <w:adjustRightInd w:val="0"/>
              <w:spacing w:after="0" w:line="240" w:lineRule="auto"/>
              <w:rPr>
                <w:rFonts w:ascii="Times New Roman" w:hAnsi="Times New Roman" w:cs="Times New Roman"/>
                <w:sz w:val="20"/>
                <w:szCs w:val="20"/>
              </w:rPr>
            </w:pPr>
          </w:p>
          <w:p w:rsidR="008610D3" w:rsidRPr="008610D3" w:rsidRDefault="008610D3" w:rsidP="008610D3">
            <w:pPr>
              <w:kinsoku w:val="0"/>
              <w:overflowPunct w:val="0"/>
              <w:autoSpaceDE w:val="0"/>
              <w:autoSpaceDN w:val="0"/>
              <w:adjustRightInd w:val="0"/>
              <w:spacing w:before="1" w:after="0" w:line="220" w:lineRule="exact"/>
              <w:ind w:left="1364"/>
              <w:rPr>
                <w:rFonts w:ascii="Calibri" w:hAnsi="Calibri" w:cs="Calibri"/>
                <w:spacing w:val="-2"/>
                <w:sz w:val="20"/>
                <w:szCs w:val="20"/>
              </w:rPr>
            </w:pPr>
            <w:r w:rsidRPr="008610D3">
              <w:rPr>
                <w:rFonts w:ascii="Calibri" w:hAnsi="Calibri" w:cs="Calibri"/>
                <w:spacing w:val="-2"/>
                <w:sz w:val="20"/>
                <w:szCs w:val="20"/>
              </w:rPr>
              <w:t>………………………………………</w:t>
            </w:r>
          </w:p>
        </w:tc>
      </w:tr>
    </w:tbl>
    <w:p w:rsidR="008610D3" w:rsidRPr="008610D3" w:rsidRDefault="008610D3" w:rsidP="008610D3">
      <w:pPr>
        <w:jc w:val="center"/>
        <w:rPr>
          <w:sz w:val="18"/>
          <w:szCs w:val="18"/>
        </w:rPr>
      </w:pPr>
    </w:p>
    <w:sectPr w:rsidR="008610D3" w:rsidRPr="008610D3" w:rsidSect="008610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D3"/>
    <w:rsid w:val="003B65F1"/>
    <w:rsid w:val="00861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BC7B"/>
  <w15:chartTrackingRefBased/>
  <w15:docId w15:val="{87B01392-416B-47CD-AF5D-AB86DF96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610D3"/>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1"/>
    <w:qFormat/>
    <w:rsid w:val="008610D3"/>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ny"/>
    <w:uiPriority w:val="1"/>
    <w:qFormat/>
    <w:rsid w:val="008610D3"/>
    <w:pPr>
      <w:autoSpaceDE w:val="0"/>
      <w:autoSpaceDN w:val="0"/>
      <w:adjustRightInd w:val="0"/>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1142</Words>
  <Characters>6858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Walkowska</dc:creator>
  <cp:keywords/>
  <dc:description/>
  <cp:lastModifiedBy>Julia Walkowska</cp:lastModifiedBy>
  <cp:revision>1</cp:revision>
  <dcterms:created xsi:type="dcterms:W3CDTF">2026-02-02T11:47:00Z</dcterms:created>
  <dcterms:modified xsi:type="dcterms:W3CDTF">2026-02-02T11:58:00Z</dcterms:modified>
</cp:coreProperties>
</file>